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强化创新载体建设奖励明细表</w:t>
      </w:r>
    </w:p>
    <w:tbl>
      <w:tblPr>
        <w:tblStyle w:val="3"/>
        <w:tblW w:w="14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1"/>
        <w:gridCol w:w="4855"/>
        <w:gridCol w:w="2750"/>
        <w:gridCol w:w="1825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奖励事项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认定企业（项目）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认定依据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2023年河南省众创空间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济源市新愚公众创空间管理有限公司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91419001MA3XED7A0D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关于公布2023年河南省众创空间的通知(豫科〔2023〕121号)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9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532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2024-05-20T08:45:20Z</dcterms:created>
  <dc:creator>Administrator</dc:creator>
  <cp:lastModifiedBy>自在放下</cp:lastModifiedBy>
  <dcterms:modified xsi:type="dcterms:W3CDTF">2024-05-20T08:46:04Z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7D36C6CA672D43458037743C7F5AE2A4_12</vt:lpwstr>
  </property>
</Properties>
</file>