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lang w:val="en-US" w:eastAsia="zh-CN"/>
        </w:rPr>
      </w:pPr>
      <w:r>
        <w:rPr>
          <w:rFonts w:hint="eastAsia" w:ascii="宋体" w:hAnsi="宋体" w:eastAsia="方正小标宋简体" w:cs="方正小标宋简体"/>
          <w:sz w:val="48"/>
          <w:szCs w:val="48"/>
          <w:lang w:val="en-US" w:eastAsia="zh-CN"/>
        </w:rPr>
        <w:t>2020</w:t>
      </w:r>
      <w:r>
        <w:rPr>
          <w:rFonts w:hint="eastAsia" w:ascii="方正小标宋简体" w:hAnsi="方正小标宋简体" w:eastAsia="方正小标宋简体" w:cs="方正小标宋简体"/>
          <w:b w:val="0"/>
          <w:bCs w:val="0"/>
          <w:sz w:val="44"/>
          <w:szCs w:val="44"/>
          <w:lang w:val="en-US" w:eastAsia="zh-CN"/>
        </w:rPr>
        <w:t>年度科技计划项目验收情况汇总表</w:t>
      </w:r>
    </w:p>
    <w:tbl>
      <w:tblPr>
        <w:tblStyle w:val="4"/>
        <w:tblW w:w="8878" w:type="dxa"/>
        <w:tblInd w:w="-72" w:type="dxa"/>
        <w:tblLayout w:type="fixed"/>
        <w:tblCellMar>
          <w:top w:w="0" w:type="dxa"/>
          <w:left w:w="108" w:type="dxa"/>
          <w:bottom w:w="0" w:type="dxa"/>
          <w:right w:w="108" w:type="dxa"/>
        </w:tblCellMar>
      </w:tblPr>
      <w:tblGrid>
        <w:gridCol w:w="1033"/>
        <w:gridCol w:w="2123"/>
        <w:gridCol w:w="1066"/>
        <w:gridCol w:w="3822"/>
        <w:gridCol w:w="834"/>
      </w:tblGrid>
      <w:tr>
        <w:tblPrEx>
          <w:tblCellMar>
            <w:top w:w="0" w:type="dxa"/>
            <w:left w:w="108" w:type="dxa"/>
            <w:bottom w:w="0" w:type="dxa"/>
            <w:right w:w="108" w:type="dxa"/>
          </w:tblCellMar>
        </w:tblPrEx>
        <w:trPr>
          <w:trHeight w:val="460" w:hRule="atLeast"/>
        </w:trPr>
        <w:tc>
          <w:tcPr>
            <w:tcW w:w="10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计划类别</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承担单位</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项目编号</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验收结果</w:t>
            </w:r>
          </w:p>
        </w:tc>
      </w:tr>
      <w:tr>
        <w:tblPrEx>
          <w:tblCellMar>
            <w:top w:w="0" w:type="dxa"/>
            <w:left w:w="108" w:type="dxa"/>
            <w:bottom w:w="0" w:type="dxa"/>
            <w:right w:w="108" w:type="dxa"/>
          </w:tblCellMar>
        </w:tblPrEx>
        <w:trPr>
          <w:trHeight w:val="460" w:hRule="atLeast"/>
        </w:trPr>
        <w:tc>
          <w:tcPr>
            <w:tcW w:w="1033" w:type="dxa"/>
            <w:vMerge w:val="restart"/>
            <w:tcBorders>
              <w:top w:val="single" w:color="000000" w:sz="4" w:space="0"/>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科技攻关（38项）</w:t>
            </w: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河南省济源生态环境监测中心</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20023005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有色冶炼场地重金属污染源特征及风险评估研究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济源市黄河科技职业技术学校</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19022011</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蓄热式轧钢加热炉的热工工艺结构优化与节能监控系统研究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19022013</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高精度高效率花键制造工艺设计与研究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19022017</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基于3D打印的PCB制造技术研究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19022018</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分布式风力发电混合储能关键技术研究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9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19022021</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氧气底吹转炉氧枪损坏与结构改进研究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济源市畜产品质量监测检验中心</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20021001</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猪肉质量安全检测技术研究与应用</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济源市人民医院</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19023024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TKA术中胫骨平台假体定位的研究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19023025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颈椎间孔神经根阻滞联合星状神经节阻滞在神经根型颈椎病中的应用</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19023022</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细胞衰老抑制基因CSIG通过geminin促进食管癌增值转移</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济源职业技术学院</w:t>
            </w:r>
          </w:p>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7N、8N高纯镓制备技术研究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20022008</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冬凌草纳米铁的制备及去除土壤重金属的研究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19022019</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济源核桃青皮提取物缓蚀作用的初步研究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19023034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浓缩山楂压片糖果防潮工艺的研究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20022005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基于ARM32的煤矿井下选择性低压漏电装置的研制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20023009</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BIM技术在建筑施工管理中的应用研究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济源市农业科学院</w:t>
            </w: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19021004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平菇新品种引进及栽培技术研究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19021002</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蓝莓新品种引进筛选及栽培技术研究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19021005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富硒西兰花生产技术研究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19021006</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喷施富硒液对大豆硒含量的影响研究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单生朝天椒新品种引进试验示范及硒富集性能评价</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20021008</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葡萄一年二次结果技术研究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20021006</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富硒葡萄栽培技术研究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20021007</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高油酸花生富硒生产技术研究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生物有机肥对小麦</w:t>
            </w:r>
            <w:r>
              <w:rPr>
                <w:rFonts w:hint="eastAsia" w:ascii="仿宋" w:hAnsi="仿宋" w:eastAsia="仿宋" w:cs="仿宋"/>
                <w:i w:val="0"/>
                <w:iCs w:val="0"/>
                <w:color w:val="000000"/>
                <w:kern w:val="0"/>
                <w:sz w:val="20"/>
                <w:szCs w:val="20"/>
                <w:u w:val="none"/>
                <w:lang w:val="en-US" w:eastAsia="zh-CN" w:bidi="ar"/>
              </w:rPr>
              <w:t>-</w:t>
            </w:r>
            <w:r>
              <w:rPr>
                <w:rFonts w:hint="eastAsia" w:ascii="仿宋" w:hAnsi="仿宋" w:eastAsia="仿宋" w:cs="仿宋"/>
                <w:kern w:val="0"/>
                <w:sz w:val="20"/>
                <w:szCs w:val="20"/>
                <w:lang w:val="en-US" w:eastAsia="zh-CN" w:bidi="ar"/>
              </w:rPr>
              <w:t>大豆轮作体系作物生长特性的影响</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20021016</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玉米减量施肥验证研究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20021011</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富硒南瓜生产技术研究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20021002</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化肥减量配施有机肥对小麦产量和品质的影响</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20021009</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蚯蚓粪对大葱生长及品质的影响</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589"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20021012</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富硒西瓜生产技术研究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20021015</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济源朝天椒品种引进、筛选及示范</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20021010</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野生苦菜资源收集及栽培驯化</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20021013</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无人机和常规施硒方式对谷子籽粒含硒量的影响</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20021014</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根施硒肥对核桃硒含量的影响研究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20021017</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适合机械化移栽的冬凌草穴盘育苗技术研究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20021003</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温室番茄优质栽培试验与示范</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20021018</w:t>
            </w:r>
          </w:p>
        </w:tc>
        <w:tc>
          <w:tcPr>
            <w:tcW w:w="3822"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冬凌草艾草粉体兔料饲喂效应初步研究</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p>
        </w:tc>
        <w:tc>
          <w:tcPr>
            <w:tcW w:w="2123" w:type="dxa"/>
            <w:vMerge w:val="continue"/>
            <w:tcBorders>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1066"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20021019</w:t>
            </w:r>
          </w:p>
        </w:tc>
        <w:tc>
          <w:tcPr>
            <w:tcW w:w="3822" w:type="dxa"/>
            <w:tcBorders>
              <w:top w:val="single" w:color="000000" w:sz="4" w:space="0"/>
              <w:left w:val="single" w:color="000000" w:sz="4" w:space="0"/>
              <w:bottom w:val="single" w:color="auto" w:sz="4" w:space="0"/>
              <w:right w:val="single" w:color="000000"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王屋山野生黄精组培快繁技术研究</w:t>
            </w:r>
          </w:p>
        </w:tc>
        <w:tc>
          <w:tcPr>
            <w:tcW w:w="83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软科学</w:t>
            </w:r>
          </w:p>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（11项）</w:t>
            </w:r>
          </w:p>
        </w:tc>
        <w:tc>
          <w:tcPr>
            <w:tcW w:w="212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济源市黄河科技职业技术学校</w:t>
            </w: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20043013</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政产学研用协同创新模式研究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20043014</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产城融合理念下济源市文化和旅游产业融合发展研究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bottom"/>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济源职业技术学</w:t>
            </w:r>
            <w:r>
              <w:rPr>
                <w:rFonts w:hint="eastAsia" w:ascii="仿宋" w:hAnsi="仿宋" w:eastAsia="仿宋" w:cs="仿宋"/>
                <w:i w:val="0"/>
                <w:iCs w:val="0"/>
                <w:color w:val="000000"/>
                <w:kern w:val="0"/>
                <w:sz w:val="20"/>
                <w:szCs w:val="20"/>
                <w:u w:val="none"/>
                <w:lang w:val="en-US" w:eastAsia="zh-CN" w:bidi="ar"/>
              </w:rPr>
              <w:t>院</w:t>
            </w: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20043005</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“五育”融合提升济源职业教育人才培养质量的实践路径研究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20043002</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基于耦合网络的济源市交通拥堵疏散策略研究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20043008</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大数据背景下济源市教师心理危机预防与干预体系建设研究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19043009</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书法艺术与城市建设的融合研究—以济源市为例</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20043003</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职业院校产教融合协同育人现代学徒制人才培养模式研究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20043007</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愚公移山精神引领下的“2020年后”济源精准脱贫长效机制构建</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20043009</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济源市白银小镇旅游项目建设研究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vMerge w:val="continue"/>
            <w:tcBorders>
              <w:left w:val="single" w:color="auto" w:sz="4" w:space="0"/>
              <w:bottom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20043010</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声乐教学视域下的嗓音康复治疗研究</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r>
        <w:tblPrEx>
          <w:tblCellMar>
            <w:top w:w="0" w:type="dxa"/>
            <w:left w:w="108" w:type="dxa"/>
            <w:bottom w:w="0" w:type="dxa"/>
            <w:right w:w="108" w:type="dxa"/>
          </w:tblCellMar>
        </w:tblPrEx>
        <w:trPr>
          <w:trHeight w:val="460" w:hRule="atLeast"/>
        </w:trPr>
        <w:tc>
          <w:tcPr>
            <w:tcW w:w="1033"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p>
        </w:tc>
        <w:tc>
          <w:tcPr>
            <w:tcW w:w="2123"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bottom"/>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济源市环境辐射和固体废物管理中心</w:t>
            </w:r>
          </w:p>
        </w:tc>
        <w:tc>
          <w:tcPr>
            <w:tcW w:w="106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20043012</w:t>
            </w:r>
          </w:p>
        </w:tc>
        <w:tc>
          <w:tcPr>
            <w:tcW w:w="3822" w:type="dxa"/>
            <w:tcBorders>
              <w:top w:val="single" w:color="auto" w:sz="4" w:space="0"/>
              <w:left w:val="single" w:color="auto" w:sz="4" w:space="0"/>
              <w:bottom w:val="single" w:color="auto" w:sz="4" w:space="0"/>
              <w:right w:val="single" w:color="auto" w:sz="4" w:space="0"/>
            </w:tcBorders>
            <w:shd w:val="clear" w:color="auto" w:fill="FFFFFF"/>
            <w:noWrap w:val="0"/>
            <w:vAlign w:val="bottom"/>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危险废物科学处置体系研究——以济源工业危险废物处置为例</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kern w:val="0"/>
                <w:sz w:val="20"/>
                <w:szCs w:val="20"/>
                <w:lang w:val="en-US" w:eastAsia="zh-CN" w:bidi="ar"/>
              </w:rPr>
              <w:t>通过</w:t>
            </w:r>
          </w:p>
        </w:tc>
      </w:tr>
    </w:tbl>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p>
    <w:p>
      <w:pPr>
        <w:keepNext w:val="0"/>
        <w:keepLines w:val="0"/>
        <w:widowControl/>
        <w:suppressLineNumbers w:val="0"/>
        <w:jc w:val="center"/>
        <w:textAlignment w:val="center"/>
        <w:rPr>
          <w:rFonts w:hint="eastAsia" w:ascii="仿宋" w:hAnsi="仿宋" w:eastAsia="仿宋" w:cs="仿宋"/>
          <w:b w:val="0"/>
          <w:bCs w:val="0"/>
          <w:sz w:val="21"/>
          <w:szCs w:val="21"/>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YWZlNWIxM2JmZjFlNDUxYzFmZWI2NWFmZmUwOWUifQ=="/>
  </w:docVars>
  <w:rsids>
    <w:rsidRoot w:val="00000000"/>
    <w:rsid w:val="53B4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 Text First Indent"/>
    <w:basedOn w:val="3"/>
    <w:qFormat/>
    <w:uiPriority w:val="0"/>
    <w:pPr>
      <w:ind w:firstLine="420" w:firstLineChars="100"/>
      <w:jc w:val="left"/>
    </w:pPr>
    <w:rPr>
      <w:rFonts w:cs="Times New Roman"/>
      <w:szCs w:val="20"/>
    </w:rPr>
  </w:style>
  <w:style w:type="paragraph" w:styleId="3">
    <w:name w:val="Body Text"/>
    <w:basedOn w:val="1"/>
    <w:qFormat/>
    <w:uiPriority w:val="0"/>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2022-12-13T04:35:41Z</dcterms:created>
  <dc:creator>Administrator</dc:creator>
  <cp:lastModifiedBy>Administrator</cp:lastModifiedBy>
  <dcterms:modified xsi:type="dcterms:W3CDTF">2022-12-13T04:36:09Z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1C5FAC1A01014FE5B62FDF87B6B3059D</vt:lpwstr>
  </property>
</Properties>
</file>